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B18" w:rsidRDefault="00C67627">
      <w:bookmarkStart w:id="0" w:name="_GoBack"/>
      <w:bookmarkEnd w:id="0"/>
      <w:r w:rsidRPr="000F787F">
        <w:rPr>
          <w:rFonts w:ascii="Times New Roman" w:hAnsi="Times New Roman"/>
          <w:noProof/>
          <w:lang w:val="es-419" w:eastAsia="es-419"/>
        </w:rPr>
        <w:drawing>
          <wp:anchor distT="0" distB="0" distL="114300" distR="114300" simplePos="0" relativeHeight="251661312" behindDoc="0" locked="0" layoutInCell="1" allowOverlap="1" wp14:anchorId="2313A8C4" wp14:editId="443E3355">
            <wp:simplePos x="0" y="0"/>
            <wp:positionH relativeFrom="margin">
              <wp:posOffset>4130040</wp:posOffset>
            </wp:positionH>
            <wp:positionV relativeFrom="paragraph">
              <wp:posOffset>5080</wp:posOffset>
            </wp:positionV>
            <wp:extent cx="1123950" cy="523875"/>
            <wp:effectExtent l="0" t="0" r="0" b="0"/>
            <wp:wrapSquare wrapText="bothSides"/>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419" w:eastAsia="es-419"/>
        </w:rPr>
        <w:drawing>
          <wp:inline distT="0" distB="0" distL="0" distR="0" wp14:anchorId="0EA0303E" wp14:editId="326766F5">
            <wp:extent cx="1085850" cy="574040"/>
            <wp:effectExtent l="0" t="0" r="0" b="0"/>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6253" cy="574253"/>
                    </a:xfrm>
                    <a:prstGeom prst="rect">
                      <a:avLst/>
                    </a:prstGeom>
                    <a:noFill/>
                  </pic:spPr>
                </pic:pic>
              </a:graphicData>
            </a:graphic>
          </wp:inline>
        </w:drawing>
      </w:r>
    </w:p>
    <w:p w:rsidR="00C67627" w:rsidRDefault="00C67627" w:rsidP="00C67627">
      <w:pPr>
        <w:jc w:val="center"/>
      </w:pPr>
    </w:p>
    <w:p w:rsidR="00C67627" w:rsidRPr="00C67627" w:rsidRDefault="00C67627" w:rsidP="00C67627">
      <w:pPr>
        <w:spacing w:after="200" w:line="240" w:lineRule="auto"/>
        <w:ind w:right="-285"/>
        <w:jc w:val="center"/>
        <w:rPr>
          <w:rFonts w:ascii="Times New Roman" w:eastAsia="MS Mincho" w:hAnsi="Times New Roman"/>
          <w:b/>
          <w:color w:val="002060"/>
          <w:sz w:val="28"/>
          <w:szCs w:val="28"/>
          <w:lang w:eastAsia="es-DO"/>
        </w:rPr>
      </w:pPr>
      <w:r w:rsidRPr="00C67627">
        <w:rPr>
          <w:rFonts w:ascii="Times New Roman" w:eastAsia="MS Mincho" w:hAnsi="Times New Roman"/>
          <w:b/>
          <w:color w:val="002060"/>
          <w:sz w:val="28"/>
          <w:szCs w:val="28"/>
          <w:lang w:eastAsia="es-DO"/>
        </w:rPr>
        <w:t xml:space="preserve">Dirección </w:t>
      </w:r>
      <w:r>
        <w:rPr>
          <w:rFonts w:ascii="Times New Roman" w:eastAsia="MS Mincho" w:hAnsi="Times New Roman"/>
          <w:b/>
          <w:color w:val="002060"/>
          <w:sz w:val="28"/>
          <w:szCs w:val="28"/>
          <w:lang w:eastAsia="es-DO"/>
        </w:rPr>
        <w:t xml:space="preserve">General </w:t>
      </w:r>
      <w:r w:rsidRPr="00C67627">
        <w:rPr>
          <w:rFonts w:ascii="Times New Roman" w:eastAsia="MS Mincho" w:hAnsi="Times New Roman"/>
          <w:b/>
          <w:color w:val="002060"/>
          <w:sz w:val="28"/>
          <w:szCs w:val="28"/>
          <w:lang w:eastAsia="es-DO"/>
        </w:rPr>
        <w:t xml:space="preserve">de </w:t>
      </w:r>
      <w:r>
        <w:rPr>
          <w:rFonts w:ascii="Times New Roman" w:eastAsia="MS Mincho" w:hAnsi="Times New Roman"/>
          <w:b/>
          <w:color w:val="002060"/>
          <w:sz w:val="28"/>
          <w:szCs w:val="28"/>
          <w:lang w:eastAsia="es-DO"/>
        </w:rPr>
        <w:t>Contabilidad</w:t>
      </w:r>
      <w:r w:rsidRPr="00C67627">
        <w:rPr>
          <w:rFonts w:ascii="Times New Roman" w:eastAsia="MS Mincho" w:hAnsi="Times New Roman"/>
          <w:b/>
          <w:color w:val="002060"/>
          <w:sz w:val="28"/>
          <w:szCs w:val="28"/>
          <w:lang w:eastAsia="es-DO"/>
        </w:rPr>
        <w:t xml:space="preserve"> </w:t>
      </w:r>
      <w:r w:rsidR="008450C6">
        <w:rPr>
          <w:rFonts w:ascii="Times New Roman" w:eastAsia="MS Mincho" w:hAnsi="Times New Roman"/>
          <w:b/>
          <w:color w:val="002060"/>
          <w:sz w:val="28"/>
          <w:szCs w:val="28"/>
          <w:lang w:eastAsia="es-DO"/>
        </w:rPr>
        <w:t xml:space="preserve">Gubernamental          </w:t>
      </w:r>
      <w:r w:rsidR="00A93213">
        <w:rPr>
          <w:rFonts w:ascii="Times New Roman" w:eastAsia="MS Mincho" w:hAnsi="Times New Roman"/>
          <w:b/>
          <w:color w:val="002060"/>
          <w:sz w:val="28"/>
          <w:szCs w:val="28"/>
          <w:lang w:eastAsia="es-DO"/>
        </w:rPr>
        <w:t xml:space="preserve">     </w:t>
      </w:r>
      <w:proofErr w:type="gramStart"/>
      <w:r w:rsidR="00A93213">
        <w:rPr>
          <w:rFonts w:ascii="Times New Roman" w:eastAsia="MS Mincho" w:hAnsi="Times New Roman"/>
          <w:b/>
          <w:color w:val="002060"/>
          <w:sz w:val="28"/>
          <w:szCs w:val="28"/>
          <w:lang w:eastAsia="es-DO"/>
        </w:rPr>
        <w:t xml:space="preserve">   </w:t>
      </w:r>
      <w:r w:rsidR="008C7932">
        <w:rPr>
          <w:rFonts w:ascii="Times New Roman" w:eastAsia="MS Mincho" w:hAnsi="Times New Roman"/>
          <w:b/>
          <w:color w:val="002060"/>
          <w:sz w:val="28"/>
          <w:szCs w:val="28"/>
          <w:lang w:eastAsia="es-DO"/>
        </w:rPr>
        <w:t>(</w:t>
      </w:r>
      <w:proofErr w:type="gramEnd"/>
      <w:r w:rsidR="008450C6">
        <w:rPr>
          <w:rFonts w:ascii="Times New Roman" w:eastAsia="MS Mincho" w:hAnsi="Times New Roman"/>
          <w:b/>
          <w:color w:val="002060"/>
          <w:sz w:val="28"/>
          <w:szCs w:val="28"/>
          <w:lang w:eastAsia="es-DO"/>
        </w:rPr>
        <w:t>DIGECOG)</w:t>
      </w:r>
      <w:r w:rsidR="009C31CA">
        <w:rPr>
          <w:rFonts w:ascii="Times New Roman" w:eastAsia="MS Mincho" w:hAnsi="Times New Roman"/>
          <w:b/>
          <w:color w:val="002060"/>
          <w:sz w:val="28"/>
          <w:szCs w:val="28"/>
          <w:lang w:eastAsia="es-DO"/>
        </w:rPr>
        <w:t xml:space="preserve">                   </w:t>
      </w:r>
      <w:r w:rsidRPr="00C67627">
        <w:rPr>
          <w:rFonts w:ascii="Times New Roman" w:eastAsia="MS Mincho" w:hAnsi="Times New Roman"/>
          <w:b/>
          <w:color w:val="002060"/>
          <w:sz w:val="28"/>
          <w:szCs w:val="28"/>
          <w:lang w:eastAsia="es-DO"/>
        </w:rPr>
        <w:t xml:space="preserve"> </w:t>
      </w:r>
      <w:r>
        <w:rPr>
          <w:rFonts w:ascii="Times New Roman" w:eastAsia="MS Mincho" w:hAnsi="Times New Roman"/>
          <w:b/>
          <w:color w:val="002060"/>
          <w:sz w:val="28"/>
          <w:szCs w:val="28"/>
          <w:lang w:eastAsia="es-DO"/>
        </w:rPr>
        <w:t xml:space="preserve">      </w:t>
      </w:r>
      <w:r w:rsidR="008450C6">
        <w:rPr>
          <w:rFonts w:ascii="Times New Roman" w:eastAsia="MS Mincho" w:hAnsi="Times New Roman"/>
          <w:b/>
          <w:color w:val="002060"/>
          <w:sz w:val="28"/>
          <w:szCs w:val="28"/>
          <w:lang w:eastAsia="es-DO"/>
        </w:rPr>
        <w:t xml:space="preserve"> </w:t>
      </w:r>
    </w:p>
    <w:p w:rsidR="00C67627" w:rsidRDefault="00C67627" w:rsidP="00C67627">
      <w:pPr>
        <w:jc w:val="center"/>
      </w:pPr>
    </w:p>
    <w:p w:rsidR="00C67627" w:rsidRDefault="00C67627">
      <w:r>
        <w:tab/>
      </w:r>
      <w:r>
        <w:tab/>
      </w:r>
      <w:r>
        <w:tab/>
      </w:r>
      <w:r>
        <w:tab/>
      </w:r>
    </w:p>
    <w:p w:rsidR="00C67627" w:rsidRDefault="00C67627" w:rsidP="00C67627">
      <w:pPr>
        <w:jc w:val="center"/>
      </w:pPr>
    </w:p>
    <w:p w:rsidR="00C67627" w:rsidRDefault="00C67627" w:rsidP="00C67627">
      <w:pPr>
        <w:jc w:val="center"/>
      </w:pPr>
    </w:p>
    <w:p w:rsidR="00C67627" w:rsidRDefault="00C67627" w:rsidP="00C67627">
      <w:pPr>
        <w:jc w:val="center"/>
      </w:pPr>
    </w:p>
    <w:p w:rsidR="00C67627" w:rsidRPr="00A93213" w:rsidRDefault="00C67627" w:rsidP="00C67627">
      <w:pPr>
        <w:pStyle w:val="Prrafodelista"/>
        <w:numPr>
          <w:ilvl w:val="0"/>
          <w:numId w:val="1"/>
        </w:numPr>
        <w:spacing w:line="216" w:lineRule="auto"/>
        <w:jc w:val="center"/>
        <w:rPr>
          <w:rFonts w:eastAsia="MS Mincho" w:cstheme="minorBidi"/>
          <w:b/>
        </w:rPr>
      </w:pPr>
      <w:r w:rsidRPr="00A93213">
        <w:rPr>
          <w:rFonts w:eastAsia="MS Mincho" w:cstheme="minorBidi"/>
          <w:b/>
        </w:rPr>
        <w:t xml:space="preserve">Programa de Apoyo la Reforma de la </w:t>
      </w:r>
      <w:r w:rsidR="00A93213" w:rsidRPr="00A93213">
        <w:rPr>
          <w:rFonts w:eastAsia="MS Mincho" w:cstheme="minorBidi"/>
          <w:b/>
        </w:rPr>
        <w:t>A</w:t>
      </w:r>
      <w:r w:rsidRPr="00A93213">
        <w:rPr>
          <w:rFonts w:eastAsia="MS Mincho" w:cstheme="minorBidi"/>
          <w:b/>
        </w:rPr>
        <w:t xml:space="preserve">dministración y la </w:t>
      </w:r>
      <w:r w:rsidR="00A93213" w:rsidRPr="00A93213">
        <w:rPr>
          <w:rFonts w:eastAsia="MS Mincho" w:cstheme="minorBidi"/>
          <w:b/>
        </w:rPr>
        <w:t>G</w:t>
      </w:r>
      <w:r w:rsidRPr="00A93213">
        <w:rPr>
          <w:rFonts w:eastAsia="MS Mincho" w:cstheme="minorBidi"/>
          <w:b/>
        </w:rPr>
        <w:t>estión de las Finanzas Publicas y la Movilización de Recursos Internos - PROGEF</w:t>
      </w:r>
    </w:p>
    <w:p w:rsidR="00C67627" w:rsidRPr="00C67627" w:rsidRDefault="00C67627" w:rsidP="00C67627">
      <w:pPr>
        <w:jc w:val="center"/>
        <w:rPr>
          <w:rFonts w:ascii="Times New Roman" w:eastAsia="MS Mincho" w:hAnsi="Times New Roman"/>
          <w:b/>
          <w:sz w:val="28"/>
          <w:szCs w:val="28"/>
          <w:lang w:eastAsia="es-DO"/>
        </w:rPr>
      </w:pPr>
    </w:p>
    <w:p w:rsidR="00C67627" w:rsidRDefault="00C67627" w:rsidP="00C67627">
      <w:pPr>
        <w:jc w:val="center"/>
      </w:pPr>
    </w:p>
    <w:p w:rsidR="00C67627" w:rsidRDefault="00C67627" w:rsidP="00C67627">
      <w:pPr>
        <w:jc w:val="center"/>
      </w:pPr>
    </w:p>
    <w:p w:rsidR="00C67627" w:rsidRDefault="00C67627" w:rsidP="00C67627">
      <w:pPr>
        <w:jc w:val="center"/>
      </w:pPr>
    </w:p>
    <w:p w:rsidR="00C67627" w:rsidRDefault="00C67627" w:rsidP="00C67627">
      <w:pPr>
        <w:jc w:val="center"/>
      </w:pPr>
    </w:p>
    <w:p w:rsidR="00C67627" w:rsidRDefault="00C67627" w:rsidP="00C67627"/>
    <w:p w:rsidR="00C67627" w:rsidRDefault="00C67627" w:rsidP="00C67627">
      <w:pPr>
        <w:jc w:val="center"/>
      </w:pPr>
    </w:p>
    <w:p w:rsidR="00C67627" w:rsidRDefault="00C67627" w:rsidP="00C67627">
      <w:pPr>
        <w:jc w:val="center"/>
      </w:pPr>
    </w:p>
    <w:p w:rsidR="00C67627" w:rsidRDefault="00C67627" w:rsidP="00C67627">
      <w:pPr>
        <w:jc w:val="center"/>
      </w:pPr>
    </w:p>
    <w:p w:rsidR="00C67627" w:rsidRDefault="00C67627" w:rsidP="00C67627">
      <w:pPr>
        <w:jc w:val="center"/>
      </w:pPr>
    </w:p>
    <w:p w:rsidR="00C67627" w:rsidRDefault="00C67627" w:rsidP="00C67627">
      <w:pPr>
        <w:jc w:val="center"/>
      </w:pPr>
    </w:p>
    <w:p w:rsidR="00C67627" w:rsidRDefault="00C67627" w:rsidP="00C67627">
      <w:pPr>
        <w:jc w:val="center"/>
      </w:pPr>
    </w:p>
    <w:p w:rsidR="00C67627" w:rsidRDefault="00C67627" w:rsidP="00C67627">
      <w:pPr>
        <w:jc w:val="center"/>
      </w:pPr>
    </w:p>
    <w:p w:rsidR="00C67627" w:rsidRDefault="00A93213" w:rsidP="00C67627">
      <w:pPr>
        <w:jc w:val="center"/>
        <w:rPr>
          <w:rFonts w:ascii="Times New Roman" w:hAnsi="Times New Roman"/>
          <w:noProof/>
        </w:rPr>
      </w:pPr>
      <w:r>
        <w:rPr>
          <w:rFonts w:ascii="Times New Roman" w:hAnsi="Times New Roman"/>
          <w:noProof/>
        </w:rPr>
        <w:t>Perí</w:t>
      </w:r>
      <w:r w:rsidR="009C31CA">
        <w:rPr>
          <w:rFonts w:ascii="Times New Roman" w:hAnsi="Times New Roman"/>
          <w:noProof/>
        </w:rPr>
        <w:t xml:space="preserve">odo                                                                                                                                                </w:t>
      </w:r>
      <w:r w:rsidR="00BF5D13">
        <w:rPr>
          <w:rFonts w:ascii="Times New Roman" w:hAnsi="Times New Roman"/>
          <w:noProof/>
        </w:rPr>
        <w:t>Enero</w:t>
      </w:r>
      <w:r w:rsidR="00D906AE">
        <w:rPr>
          <w:rFonts w:ascii="Times New Roman" w:hAnsi="Times New Roman"/>
          <w:noProof/>
        </w:rPr>
        <w:t>-diciembre 2023</w:t>
      </w:r>
    </w:p>
    <w:p w:rsidR="009C31CA" w:rsidRDefault="009C31CA" w:rsidP="00C67627">
      <w:pPr>
        <w:jc w:val="center"/>
        <w:rPr>
          <w:rFonts w:ascii="Times New Roman" w:hAnsi="Times New Roman"/>
          <w:noProof/>
        </w:rPr>
      </w:pPr>
    </w:p>
    <w:p w:rsidR="009C31CA" w:rsidRDefault="009C31CA" w:rsidP="00C67627">
      <w:pPr>
        <w:jc w:val="center"/>
        <w:rPr>
          <w:rFonts w:ascii="Times New Roman" w:hAnsi="Times New Roman"/>
          <w:noProof/>
        </w:rPr>
      </w:pPr>
    </w:p>
    <w:p w:rsidR="009C31CA" w:rsidRDefault="009C31CA" w:rsidP="00C67627">
      <w:pPr>
        <w:jc w:val="center"/>
        <w:rPr>
          <w:rFonts w:ascii="Times New Roman" w:hAnsi="Times New Roman"/>
          <w:noProof/>
        </w:rPr>
      </w:pPr>
    </w:p>
    <w:p w:rsidR="009C31CA" w:rsidRDefault="009C31CA" w:rsidP="00C67627">
      <w:pPr>
        <w:jc w:val="center"/>
        <w:rPr>
          <w:rFonts w:ascii="Times New Roman" w:hAnsi="Times New Roman"/>
          <w:noProof/>
        </w:rPr>
      </w:pPr>
    </w:p>
    <w:p w:rsidR="009C31CA" w:rsidRPr="00FD1948" w:rsidRDefault="009C31CA" w:rsidP="009C31CA">
      <w:pPr>
        <w:rPr>
          <w:rFonts w:ascii="Times New Roman" w:hAnsi="Times New Roman"/>
          <w:noProof/>
          <w:sz w:val="28"/>
          <w:szCs w:val="28"/>
        </w:rPr>
      </w:pPr>
    </w:p>
    <w:p w:rsidR="00FD1948" w:rsidRPr="003B6FD4" w:rsidRDefault="00A93213" w:rsidP="003B6FD4">
      <w:pPr>
        <w:pStyle w:val="Prrafodelista"/>
        <w:numPr>
          <w:ilvl w:val="0"/>
          <w:numId w:val="3"/>
        </w:numPr>
        <w:rPr>
          <w:b/>
          <w:noProof/>
          <w:sz w:val="28"/>
          <w:szCs w:val="28"/>
        </w:rPr>
      </w:pPr>
      <w:r>
        <w:rPr>
          <w:b/>
          <w:noProof/>
          <w:sz w:val="28"/>
          <w:szCs w:val="28"/>
        </w:rPr>
        <w:lastRenderedPageBreak/>
        <w:t>Informació</w:t>
      </w:r>
      <w:r w:rsidR="00FD1948" w:rsidRPr="00FD1948">
        <w:rPr>
          <w:b/>
          <w:noProof/>
          <w:sz w:val="28"/>
          <w:szCs w:val="28"/>
        </w:rPr>
        <w:t>n General</w:t>
      </w:r>
    </w:p>
    <w:tbl>
      <w:tblPr>
        <w:tblStyle w:val="Tablaconcuadrcula"/>
        <w:tblW w:w="8784" w:type="dxa"/>
        <w:tblLook w:val="04A0" w:firstRow="1" w:lastRow="0" w:firstColumn="1" w:lastColumn="0" w:noHBand="0" w:noVBand="1"/>
      </w:tblPr>
      <w:tblGrid>
        <w:gridCol w:w="2106"/>
        <w:gridCol w:w="6678"/>
      </w:tblGrid>
      <w:tr w:rsidR="00FD1948" w:rsidTr="003B6FD4">
        <w:trPr>
          <w:trHeight w:val="1008"/>
        </w:trPr>
        <w:tc>
          <w:tcPr>
            <w:tcW w:w="2106" w:type="dxa"/>
          </w:tcPr>
          <w:p w:rsidR="00FD1948" w:rsidRPr="00FD1948" w:rsidRDefault="00FD1948" w:rsidP="009C31CA">
            <w:pPr>
              <w:spacing w:before="300" w:after="300"/>
              <w:outlineLvl w:val="0"/>
              <w:rPr>
                <w:rFonts w:ascii="Atkinson-Hyperlegible" w:eastAsia="Times New Roman" w:hAnsi="Atkinson-Hyperlegible" w:cs="Times New Roman"/>
                <w:b/>
                <w:color w:val="000000"/>
                <w:kern w:val="36"/>
                <w:sz w:val="24"/>
                <w:szCs w:val="24"/>
                <w:lang w:eastAsia="es-DO"/>
              </w:rPr>
            </w:pPr>
            <w:r w:rsidRPr="00FD1948">
              <w:rPr>
                <w:rFonts w:ascii="Atkinson-Hyperlegible" w:eastAsia="Times New Roman" w:hAnsi="Atkinson-Hyperlegible" w:cs="Times New Roman"/>
                <w:b/>
                <w:color w:val="000000"/>
                <w:kern w:val="36"/>
                <w:sz w:val="24"/>
                <w:szCs w:val="24"/>
                <w:lang w:eastAsia="es-DO"/>
              </w:rPr>
              <w:t>Nombre del Proyecto</w:t>
            </w:r>
          </w:p>
        </w:tc>
        <w:tc>
          <w:tcPr>
            <w:tcW w:w="6678" w:type="dxa"/>
          </w:tcPr>
          <w:p w:rsidR="00FD1948" w:rsidRPr="00FD1948" w:rsidRDefault="00FD1948" w:rsidP="00FD1948">
            <w:pPr>
              <w:spacing w:after="100" w:afterAutospacing="1"/>
              <w:jc w:val="both"/>
              <w:rPr>
                <w:rFonts w:ascii="Times New Roman" w:eastAsia="Times New Roman" w:hAnsi="Times New Roman" w:cs="Times New Roman"/>
                <w:sz w:val="24"/>
                <w:szCs w:val="24"/>
                <w:lang w:eastAsia="es-DO"/>
              </w:rPr>
            </w:pPr>
            <w:r w:rsidRPr="00FD1948">
              <w:rPr>
                <w:rFonts w:ascii="Times New Roman" w:eastAsia="Times New Roman" w:hAnsi="Times New Roman" w:cs="Times New Roman"/>
                <w:sz w:val="24"/>
                <w:szCs w:val="24"/>
                <w:lang w:eastAsia="es-DO"/>
              </w:rPr>
              <w:t>Programa de Apoyo a la Reforma de la Administración, de las Finanzas Públicas y la Movilización de Recursos Internos en República Dominicana</w:t>
            </w:r>
          </w:p>
        </w:tc>
      </w:tr>
      <w:tr w:rsidR="00FD1948" w:rsidTr="003B6FD4">
        <w:trPr>
          <w:trHeight w:val="414"/>
        </w:trPr>
        <w:tc>
          <w:tcPr>
            <w:tcW w:w="2106" w:type="dxa"/>
          </w:tcPr>
          <w:p w:rsidR="00FD1948" w:rsidRPr="00FD1948" w:rsidRDefault="00FD1948" w:rsidP="00FD1948">
            <w:pPr>
              <w:spacing w:after="100" w:afterAutospacing="1"/>
              <w:rPr>
                <w:rFonts w:ascii="Times New Roman" w:eastAsia="Times New Roman" w:hAnsi="Times New Roman" w:cs="Times New Roman"/>
                <w:b/>
                <w:sz w:val="24"/>
                <w:szCs w:val="24"/>
                <w:lang w:eastAsia="es-DO"/>
              </w:rPr>
            </w:pPr>
            <w:r w:rsidRPr="00FD1948">
              <w:rPr>
                <w:rFonts w:ascii="Times New Roman" w:eastAsia="Times New Roman" w:hAnsi="Times New Roman" w:cs="Times New Roman"/>
                <w:b/>
                <w:sz w:val="24"/>
                <w:szCs w:val="24"/>
                <w:lang w:eastAsia="es-DO"/>
              </w:rPr>
              <w:t>Acrónimo</w:t>
            </w:r>
          </w:p>
        </w:tc>
        <w:tc>
          <w:tcPr>
            <w:tcW w:w="6678" w:type="dxa"/>
          </w:tcPr>
          <w:p w:rsidR="00FD1948" w:rsidRPr="00FD1948" w:rsidRDefault="00FD1948" w:rsidP="00FD1948">
            <w:pPr>
              <w:spacing w:after="100" w:afterAutospacing="1"/>
              <w:rPr>
                <w:rFonts w:ascii="Times New Roman" w:eastAsia="Times New Roman" w:hAnsi="Times New Roman" w:cs="Times New Roman"/>
                <w:sz w:val="24"/>
                <w:szCs w:val="24"/>
                <w:lang w:eastAsia="es-DO"/>
              </w:rPr>
            </w:pPr>
            <w:r>
              <w:rPr>
                <w:rFonts w:ascii="Times New Roman" w:eastAsia="Times New Roman" w:hAnsi="Times New Roman" w:cs="Times New Roman"/>
                <w:sz w:val="24"/>
                <w:szCs w:val="24"/>
                <w:lang w:eastAsia="es-DO"/>
              </w:rPr>
              <w:t>FED/2018/39315</w:t>
            </w:r>
          </w:p>
        </w:tc>
      </w:tr>
      <w:tr w:rsidR="009C31CA" w:rsidTr="003B6FD4">
        <w:trPr>
          <w:trHeight w:val="2069"/>
        </w:trPr>
        <w:tc>
          <w:tcPr>
            <w:tcW w:w="2106" w:type="dxa"/>
          </w:tcPr>
          <w:p w:rsidR="008450C6" w:rsidRDefault="008450C6" w:rsidP="009C31CA">
            <w:pPr>
              <w:spacing w:before="300" w:after="300"/>
              <w:outlineLvl w:val="0"/>
              <w:rPr>
                <w:rFonts w:ascii="Atkinson-Hyperlegible" w:eastAsia="Times New Roman" w:hAnsi="Atkinson-Hyperlegible" w:cs="Times New Roman"/>
                <w:b/>
                <w:color w:val="000000"/>
                <w:kern w:val="36"/>
                <w:sz w:val="24"/>
                <w:szCs w:val="24"/>
                <w:lang w:eastAsia="es-DO"/>
              </w:rPr>
            </w:pPr>
          </w:p>
          <w:p w:rsidR="009C31CA" w:rsidRPr="00FD1948" w:rsidRDefault="00FD1948" w:rsidP="009C31CA">
            <w:pPr>
              <w:spacing w:before="300" w:after="300"/>
              <w:outlineLvl w:val="0"/>
              <w:rPr>
                <w:rFonts w:ascii="Atkinson-Hyperlegible" w:eastAsia="Times New Roman" w:hAnsi="Atkinson-Hyperlegible" w:cs="Times New Roman"/>
                <w:b/>
                <w:color w:val="000000"/>
                <w:kern w:val="36"/>
                <w:sz w:val="24"/>
                <w:szCs w:val="24"/>
                <w:lang w:eastAsia="es-DO"/>
              </w:rPr>
            </w:pPr>
            <w:r w:rsidRPr="00FD1948">
              <w:rPr>
                <w:rFonts w:ascii="Atkinson-Hyperlegible" w:eastAsia="Times New Roman" w:hAnsi="Atkinson-Hyperlegible" w:cs="Times New Roman"/>
                <w:b/>
                <w:color w:val="000000"/>
                <w:kern w:val="36"/>
                <w:sz w:val="24"/>
                <w:szCs w:val="24"/>
                <w:lang w:eastAsia="es-DO"/>
              </w:rPr>
              <w:t>Descripción</w:t>
            </w:r>
          </w:p>
          <w:p w:rsidR="009C31CA" w:rsidRPr="00FD1948" w:rsidRDefault="009C31CA" w:rsidP="00C67627">
            <w:pPr>
              <w:jc w:val="center"/>
              <w:rPr>
                <w:rFonts w:ascii="Times New Roman" w:hAnsi="Times New Roman"/>
                <w:b/>
                <w:noProof/>
              </w:rPr>
            </w:pPr>
          </w:p>
        </w:tc>
        <w:tc>
          <w:tcPr>
            <w:tcW w:w="6678" w:type="dxa"/>
          </w:tcPr>
          <w:p w:rsidR="00BF5D13" w:rsidRDefault="00BF5D13" w:rsidP="00FD1948">
            <w:pPr>
              <w:spacing w:after="100" w:afterAutospacing="1"/>
              <w:jc w:val="both"/>
              <w:rPr>
                <w:rFonts w:ascii="Times New Roman" w:eastAsia="Times New Roman" w:hAnsi="Times New Roman" w:cs="Times New Roman"/>
                <w:sz w:val="24"/>
                <w:szCs w:val="24"/>
                <w:lang w:eastAsia="es-DO"/>
              </w:rPr>
            </w:pPr>
            <w:r w:rsidRPr="00BF5D13">
              <w:rPr>
                <w:rFonts w:ascii="Times New Roman" w:eastAsia="Times New Roman" w:hAnsi="Times New Roman" w:cs="Times New Roman"/>
                <w:sz w:val="24"/>
                <w:szCs w:val="24"/>
                <w:lang w:eastAsia="es-DO"/>
              </w:rPr>
              <w:t>En fecha 27 de diciembre de 2018, la República Dominicana y la Unión Europea (UE) firmaron un acuerdo para reforzar la gestión de las finanzas públicas en el país</w:t>
            </w:r>
            <w:r>
              <w:rPr>
                <w:rFonts w:ascii="Times New Roman" w:eastAsia="Times New Roman" w:hAnsi="Times New Roman" w:cs="Times New Roman"/>
                <w:sz w:val="24"/>
                <w:szCs w:val="24"/>
                <w:lang w:eastAsia="es-DO"/>
              </w:rPr>
              <w:t>. Esta firma</w:t>
            </w:r>
            <w:r>
              <w:t xml:space="preserve"> pone en vigencia la ejecución del </w:t>
            </w:r>
            <w:r w:rsidRPr="00B823EA">
              <w:rPr>
                <w:rFonts w:ascii="Times New Roman" w:eastAsia="Times New Roman" w:hAnsi="Times New Roman" w:cs="Times New Roman"/>
                <w:sz w:val="24"/>
                <w:szCs w:val="24"/>
                <w:lang w:eastAsia="es-DO"/>
              </w:rPr>
              <w:t>Programa de Apoyo a la Reforma de la Administración de las Finanzas Públicas y la Movilización de Recursos Internos en República Dominicana (PROGEF).</w:t>
            </w:r>
          </w:p>
          <w:p w:rsidR="00B823EA" w:rsidRDefault="00B823EA" w:rsidP="00FD1948">
            <w:pPr>
              <w:spacing w:after="100" w:afterAutospacing="1"/>
              <w:jc w:val="both"/>
              <w:rPr>
                <w:rFonts w:ascii="Times New Roman" w:eastAsia="Times New Roman" w:hAnsi="Times New Roman" w:cs="Times New Roman"/>
                <w:sz w:val="24"/>
                <w:szCs w:val="24"/>
                <w:lang w:eastAsia="es-DO"/>
              </w:rPr>
            </w:pPr>
            <w:r w:rsidRPr="00B823EA">
              <w:rPr>
                <w:rFonts w:ascii="Times New Roman" w:eastAsia="Times New Roman" w:hAnsi="Times New Roman" w:cs="Times New Roman"/>
                <w:sz w:val="24"/>
                <w:szCs w:val="24"/>
                <w:lang w:eastAsia="es-DO"/>
              </w:rPr>
              <w:t xml:space="preserve">Está organizado en tres componentes: i) un aporte de recursos de transferencia directa al presupuesto nacional, en este caso por un monto de €12.8 millones (apoyo presupuestario), </w:t>
            </w:r>
            <w:proofErr w:type="spellStart"/>
            <w:r w:rsidRPr="00B823EA">
              <w:rPr>
                <w:rFonts w:ascii="Times New Roman" w:eastAsia="Times New Roman" w:hAnsi="Times New Roman" w:cs="Times New Roman"/>
                <w:sz w:val="24"/>
                <w:szCs w:val="24"/>
                <w:lang w:eastAsia="es-DO"/>
              </w:rPr>
              <w:t>ii</w:t>
            </w:r>
            <w:proofErr w:type="spellEnd"/>
            <w:r w:rsidRPr="00B823EA">
              <w:rPr>
                <w:rFonts w:ascii="Times New Roman" w:eastAsia="Times New Roman" w:hAnsi="Times New Roman" w:cs="Times New Roman"/>
                <w:sz w:val="24"/>
                <w:szCs w:val="24"/>
                <w:lang w:eastAsia="es-DO"/>
              </w:rPr>
              <w:t xml:space="preserve">) un aporte de recursos para apoyos complementarios, que incluyen servicios de asistencia técnica, desarrollo de capacidades, evaluación y comunicación, y </w:t>
            </w:r>
            <w:proofErr w:type="spellStart"/>
            <w:r w:rsidRPr="00B823EA">
              <w:rPr>
                <w:rFonts w:ascii="Times New Roman" w:eastAsia="Times New Roman" w:hAnsi="Times New Roman" w:cs="Times New Roman"/>
                <w:sz w:val="24"/>
                <w:szCs w:val="24"/>
                <w:lang w:eastAsia="es-DO"/>
              </w:rPr>
              <w:t>iii</w:t>
            </w:r>
            <w:proofErr w:type="spellEnd"/>
            <w:r w:rsidRPr="00B823EA">
              <w:rPr>
                <w:rFonts w:ascii="Times New Roman" w:eastAsia="Times New Roman" w:hAnsi="Times New Roman" w:cs="Times New Roman"/>
                <w:sz w:val="24"/>
                <w:szCs w:val="24"/>
                <w:lang w:eastAsia="es-DO"/>
              </w:rPr>
              <w:t>) un espacio para el diálogo de políticas entre la Unión Europa y el Gobierno de la República Dominicana. El programa tiene una duración de tres años, 2019-2022, y se ejecuta bajo responsabilidad del Ministerio de Hacienda.</w:t>
            </w:r>
          </w:p>
          <w:p w:rsidR="00223C2F" w:rsidRPr="00FD1948" w:rsidRDefault="00223C2F" w:rsidP="00FD1948">
            <w:pPr>
              <w:spacing w:after="100" w:afterAutospacing="1"/>
              <w:jc w:val="both"/>
              <w:rPr>
                <w:rFonts w:ascii="Times New Roman" w:eastAsia="Times New Roman" w:hAnsi="Times New Roman" w:cs="Times New Roman"/>
                <w:sz w:val="24"/>
                <w:szCs w:val="24"/>
                <w:lang w:eastAsia="es-DO"/>
              </w:rPr>
            </w:pPr>
            <w:r w:rsidRPr="00223C2F">
              <w:rPr>
                <w:rFonts w:ascii="Times New Roman" w:eastAsia="Times New Roman" w:hAnsi="Times New Roman" w:cs="Times New Roman"/>
                <w:sz w:val="24"/>
                <w:szCs w:val="24"/>
                <w:lang w:eastAsia="es-DO"/>
              </w:rPr>
              <w:t>Los recursos financieros del PROGEF han sido asignados por el Ministro de Hacienda, en exclusividad, para sostener los esfuerzos de reforma que llevan adelante en la actualidad los órganos rectores de cada uno de los sistemas de gestión de las finanzas públicas. En este sentido, estos recursos han sido distribuidos a un conjunto de entidades con iniciativas de fortalecimiento del sistema de gestión de las finanzas públicas en diseño o desarrollo, incluyendo esta dirección General de Contabilidad.</w:t>
            </w:r>
          </w:p>
        </w:tc>
      </w:tr>
      <w:tr w:rsidR="009C31CA" w:rsidTr="003B6FD4">
        <w:tc>
          <w:tcPr>
            <w:tcW w:w="2106" w:type="dxa"/>
          </w:tcPr>
          <w:p w:rsidR="009C31CA" w:rsidRDefault="009C31CA" w:rsidP="009C31CA">
            <w:pPr>
              <w:rPr>
                <w:rFonts w:eastAsiaTheme="minorEastAsia"/>
                <w:b/>
                <w:color w:val="000000"/>
                <w:kern w:val="24"/>
                <w:lang w:val="es-ES_tradnl"/>
              </w:rPr>
            </w:pPr>
          </w:p>
          <w:p w:rsidR="009C31CA" w:rsidRDefault="009C31CA" w:rsidP="009C31CA">
            <w:pPr>
              <w:rPr>
                <w:rFonts w:eastAsiaTheme="minorEastAsia"/>
                <w:b/>
                <w:color w:val="000000"/>
                <w:kern w:val="24"/>
                <w:lang w:val="es-ES_tradnl"/>
              </w:rPr>
            </w:pPr>
          </w:p>
          <w:p w:rsidR="009C31CA" w:rsidRDefault="009C31CA" w:rsidP="009C31CA">
            <w:pPr>
              <w:rPr>
                <w:rFonts w:ascii="Times New Roman" w:hAnsi="Times New Roman"/>
                <w:noProof/>
              </w:rPr>
            </w:pPr>
            <w:r w:rsidRPr="008004D3">
              <w:rPr>
                <w:rFonts w:eastAsiaTheme="minorEastAsia"/>
                <w:b/>
                <w:color w:val="000000"/>
                <w:kern w:val="24"/>
                <w:lang w:val="es-ES_tradnl"/>
              </w:rPr>
              <w:t>Objetivo General</w:t>
            </w:r>
          </w:p>
        </w:tc>
        <w:tc>
          <w:tcPr>
            <w:tcW w:w="6678" w:type="dxa"/>
          </w:tcPr>
          <w:p w:rsidR="00223C2F" w:rsidRPr="00FD1948" w:rsidRDefault="009C31CA" w:rsidP="00FD1948">
            <w:pPr>
              <w:spacing w:after="100" w:afterAutospacing="1"/>
              <w:jc w:val="both"/>
              <w:rPr>
                <w:rFonts w:ascii="Times New Roman" w:eastAsia="Times New Roman" w:hAnsi="Times New Roman" w:cs="Times New Roman"/>
                <w:sz w:val="24"/>
                <w:szCs w:val="24"/>
                <w:lang w:eastAsia="es-DO"/>
              </w:rPr>
            </w:pPr>
            <w:r w:rsidRPr="00FD1948">
              <w:rPr>
                <w:rFonts w:ascii="Times New Roman" w:eastAsia="Times New Roman" w:hAnsi="Times New Roman" w:cs="Times New Roman"/>
                <w:sz w:val="24"/>
                <w:szCs w:val="24"/>
                <w:lang w:eastAsia="es-DO"/>
              </w:rPr>
              <w:t>Fortalecer la gestión sostenible de las finanzas públicas, la asignación de recursos en línea con las prioridades de desarrollo nacional y conducentes con una distribución más equitativa de los ingresos nacionales.</w:t>
            </w:r>
          </w:p>
        </w:tc>
      </w:tr>
      <w:tr w:rsidR="009C31CA" w:rsidTr="003B6FD4">
        <w:trPr>
          <w:trHeight w:val="3131"/>
        </w:trPr>
        <w:tc>
          <w:tcPr>
            <w:tcW w:w="2106" w:type="dxa"/>
          </w:tcPr>
          <w:p w:rsidR="008450C6" w:rsidRDefault="008450C6" w:rsidP="009C31CA">
            <w:pPr>
              <w:rPr>
                <w:rFonts w:eastAsiaTheme="minorEastAsia"/>
                <w:b/>
                <w:color w:val="000000"/>
                <w:kern w:val="24"/>
                <w:lang w:val="es-ES_tradnl"/>
              </w:rPr>
            </w:pPr>
          </w:p>
          <w:p w:rsidR="008450C6" w:rsidRDefault="008450C6" w:rsidP="009C31CA">
            <w:pPr>
              <w:rPr>
                <w:rFonts w:eastAsiaTheme="minorEastAsia"/>
                <w:b/>
                <w:color w:val="000000"/>
                <w:kern w:val="24"/>
                <w:lang w:val="es-ES_tradnl"/>
              </w:rPr>
            </w:pPr>
          </w:p>
          <w:p w:rsidR="008450C6" w:rsidRDefault="008450C6" w:rsidP="009C31CA">
            <w:pPr>
              <w:rPr>
                <w:rFonts w:eastAsiaTheme="minorEastAsia"/>
                <w:b/>
                <w:color w:val="000000"/>
                <w:kern w:val="24"/>
                <w:lang w:val="es-ES_tradnl"/>
              </w:rPr>
            </w:pPr>
          </w:p>
          <w:p w:rsidR="008450C6" w:rsidRDefault="008450C6" w:rsidP="009C31CA">
            <w:pPr>
              <w:rPr>
                <w:rFonts w:eastAsiaTheme="minorEastAsia"/>
                <w:b/>
                <w:color w:val="000000"/>
                <w:kern w:val="24"/>
                <w:lang w:val="es-ES_tradnl"/>
              </w:rPr>
            </w:pPr>
          </w:p>
          <w:p w:rsidR="008450C6" w:rsidRDefault="008450C6" w:rsidP="009C31CA">
            <w:pPr>
              <w:rPr>
                <w:rFonts w:eastAsiaTheme="minorEastAsia"/>
                <w:b/>
                <w:color w:val="000000"/>
                <w:kern w:val="24"/>
                <w:lang w:val="es-ES_tradnl"/>
              </w:rPr>
            </w:pPr>
          </w:p>
          <w:p w:rsidR="009C31CA" w:rsidRPr="009C31CA" w:rsidRDefault="009C31CA" w:rsidP="009C31CA">
            <w:pPr>
              <w:rPr>
                <w:rFonts w:eastAsiaTheme="minorEastAsia"/>
                <w:b/>
                <w:color w:val="000000"/>
                <w:kern w:val="24"/>
                <w:lang w:val="es-ES_tradnl"/>
              </w:rPr>
            </w:pPr>
            <w:r w:rsidRPr="009C31CA">
              <w:rPr>
                <w:rFonts w:eastAsiaTheme="minorEastAsia"/>
                <w:b/>
                <w:color w:val="000000"/>
                <w:kern w:val="24"/>
                <w:lang w:val="es-ES_tradnl"/>
              </w:rPr>
              <w:t>Objetivo</w:t>
            </w:r>
            <w:r>
              <w:rPr>
                <w:rFonts w:eastAsiaTheme="minorEastAsia"/>
                <w:b/>
                <w:color w:val="000000"/>
                <w:kern w:val="24"/>
                <w:lang w:val="es-ES_tradnl"/>
              </w:rPr>
              <w:t>s</w:t>
            </w:r>
            <w:r w:rsidRPr="009C31CA">
              <w:rPr>
                <w:rFonts w:eastAsiaTheme="minorEastAsia"/>
                <w:b/>
                <w:color w:val="000000"/>
                <w:kern w:val="24"/>
                <w:lang w:val="es-ES_tradnl"/>
              </w:rPr>
              <w:t xml:space="preserve"> específico</w:t>
            </w:r>
            <w:r>
              <w:rPr>
                <w:rFonts w:eastAsiaTheme="minorEastAsia"/>
                <w:b/>
                <w:color w:val="000000"/>
                <w:kern w:val="24"/>
                <w:lang w:val="es-ES_tradnl"/>
              </w:rPr>
              <w:t>s</w:t>
            </w:r>
          </w:p>
          <w:p w:rsidR="009C31CA" w:rsidRDefault="009C31CA" w:rsidP="009C31CA">
            <w:pPr>
              <w:rPr>
                <w:rFonts w:ascii="Times New Roman" w:hAnsi="Times New Roman"/>
                <w:noProof/>
              </w:rPr>
            </w:pPr>
          </w:p>
        </w:tc>
        <w:tc>
          <w:tcPr>
            <w:tcW w:w="6678" w:type="dxa"/>
          </w:tcPr>
          <w:p w:rsidR="003B6FD4" w:rsidRPr="00957706" w:rsidRDefault="003B6FD4" w:rsidP="00F475CE">
            <w:pPr>
              <w:pStyle w:val="Prrafodelista"/>
              <w:numPr>
                <w:ilvl w:val="0"/>
                <w:numId w:val="6"/>
              </w:numPr>
              <w:spacing w:after="160" w:line="259" w:lineRule="auto"/>
            </w:pPr>
            <w:r w:rsidRPr="00957706">
              <w:t>Profundizar la articulación de la planificación y el presupuesto en el mediano plazo.</w:t>
            </w:r>
          </w:p>
          <w:p w:rsidR="003B6FD4" w:rsidRPr="00F475CE" w:rsidRDefault="003B6FD4" w:rsidP="00F475CE">
            <w:pPr>
              <w:pStyle w:val="Prrafodelista"/>
              <w:numPr>
                <w:ilvl w:val="0"/>
                <w:numId w:val="6"/>
              </w:numPr>
              <w:spacing w:after="160" w:line="259" w:lineRule="auto"/>
            </w:pPr>
            <w:r w:rsidRPr="00F475CE">
              <w:t>Fortalecer la integración de los sistemas de administración financiera del Estado.</w:t>
            </w:r>
          </w:p>
          <w:p w:rsidR="003B6FD4" w:rsidRPr="00957706" w:rsidRDefault="003B6FD4" w:rsidP="00F475CE">
            <w:pPr>
              <w:pStyle w:val="Prrafodelista"/>
              <w:numPr>
                <w:ilvl w:val="0"/>
                <w:numId w:val="6"/>
              </w:numPr>
              <w:spacing w:after="160" w:line="259" w:lineRule="auto"/>
            </w:pPr>
            <w:r w:rsidRPr="00957706">
              <w:t>Simplificar y mejorar los servicios institucionales para la ejecución del gasto.</w:t>
            </w:r>
          </w:p>
          <w:p w:rsidR="003B6FD4" w:rsidRPr="00F475CE" w:rsidRDefault="003B6FD4" w:rsidP="00F475CE">
            <w:pPr>
              <w:pStyle w:val="Prrafodelista"/>
              <w:numPr>
                <w:ilvl w:val="0"/>
                <w:numId w:val="6"/>
              </w:numPr>
              <w:spacing w:after="160" w:line="259" w:lineRule="auto"/>
            </w:pPr>
            <w:r w:rsidRPr="00F475CE">
              <w:t>Reforzar la rendición de cuentas y el control sobre la gestión de los recursos, bienes y servicios públicos.</w:t>
            </w:r>
          </w:p>
          <w:p w:rsidR="003B6FD4" w:rsidRPr="00F475CE" w:rsidRDefault="003B6FD4" w:rsidP="00F475CE">
            <w:pPr>
              <w:pStyle w:val="Prrafodelista"/>
              <w:numPr>
                <w:ilvl w:val="0"/>
                <w:numId w:val="6"/>
              </w:numPr>
              <w:spacing w:after="160" w:line="259" w:lineRule="auto"/>
            </w:pPr>
            <w:r w:rsidRPr="00F475CE">
              <w:t xml:space="preserve">Incrementar la disponibilidad de recursos públicos. </w:t>
            </w:r>
          </w:p>
          <w:p w:rsidR="003B6FD4" w:rsidRDefault="003B6FD4" w:rsidP="00F475CE">
            <w:pPr>
              <w:pStyle w:val="Prrafodelista"/>
              <w:numPr>
                <w:ilvl w:val="0"/>
                <w:numId w:val="6"/>
              </w:numPr>
              <w:spacing w:after="160" w:line="259" w:lineRule="auto"/>
            </w:pPr>
            <w:r w:rsidRPr="00957706">
              <w:t>Mejorar la gobernanza de la gestión de las finanzas públicas.</w:t>
            </w:r>
          </w:p>
          <w:p w:rsidR="009C31CA" w:rsidRPr="008450C6" w:rsidRDefault="009C31CA" w:rsidP="003B6FD4">
            <w:pPr>
              <w:spacing w:after="100" w:afterAutospacing="1"/>
            </w:pPr>
          </w:p>
        </w:tc>
      </w:tr>
      <w:tr w:rsidR="009C31CA" w:rsidTr="003B6FD4">
        <w:trPr>
          <w:trHeight w:val="1559"/>
        </w:trPr>
        <w:tc>
          <w:tcPr>
            <w:tcW w:w="2106" w:type="dxa"/>
          </w:tcPr>
          <w:p w:rsidR="009C31CA" w:rsidRPr="00E02DBD" w:rsidRDefault="009C31CA" w:rsidP="00E02DBD">
            <w:pPr>
              <w:rPr>
                <w:rFonts w:ascii="Times New Roman" w:eastAsiaTheme="minorEastAsia" w:hAnsi="Times New Roman" w:cs="Times New Roman"/>
                <w:b/>
                <w:color w:val="000000"/>
                <w:kern w:val="24"/>
                <w:sz w:val="24"/>
                <w:szCs w:val="24"/>
                <w:lang w:val="es-ES_tradnl" w:eastAsia="es-DO"/>
              </w:rPr>
            </w:pPr>
            <w:r w:rsidRPr="00913CB9">
              <w:rPr>
                <w:rFonts w:ascii="Times New Roman" w:hAnsi="Times New Roman" w:cs="Times New Roman"/>
                <w:b/>
                <w:sz w:val="24"/>
                <w:szCs w:val="24"/>
              </w:rPr>
              <w:lastRenderedPageBreak/>
              <w:t>Población beneficiaria</w:t>
            </w:r>
          </w:p>
        </w:tc>
        <w:tc>
          <w:tcPr>
            <w:tcW w:w="6678" w:type="dxa"/>
          </w:tcPr>
          <w:p w:rsidR="00E02DBD" w:rsidRPr="00FD1948" w:rsidRDefault="00E02DBD" w:rsidP="00223C2F">
            <w:pPr>
              <w:spacing w:after="100" w:afterAutospacing="1"/>
              <w:rPr>
                <w:rFonts w:ascii="Times New Roman" w:eastAsiaTheme="minorEastAsia" w:hAnsi="Times New Roman" w:cs="Times New Roman"/>
                <w:color w:val="000000"/>
                <w:kern w:val="24"/>
                <w:sz w:val="24"/>
                <w:szCs w:val="24"/>
                <w:lang w:val="es-ES_tradnl" w:eastAsia="es-DO"/>
              </w:rPr>
            </w:pPr>
            <w:r>
              <w:rPr>
                <w:rFonts w:ascii="Times New Roman" w:eastAsiaTheme="minorEastAsia" w:hAnsi="Times New Roman" w:cs="Times New Roman"/>
                <w:color w:val="000000"/>
                <w:kern w:val="24"/>
                <w:sz w:val="24"/>
                <w:szCs w:val="24"/>
                <w:lang w:val="es-ES_tradnl" w:eastAsia="es-DO"/>
              </w:rPr>
              <w:t xml:space="preserve">La población beneficiaria son 15 instituciones, distribuidas entre las del Ministerio de Hacienda, Ministerio de Economía Planificación y Desarrollo, Contraloría General de la Republica y la Cámara de Cuenta de la República Dominicana. </w:t>
            </w:r>
          </w:p>
        </w:tc>
      </w:tr>
      <w:tr w:rsidR="009C31CA" w:rsidTr="003B6FD4">
        <w:trPr>
          <w:trHeight w:val="1023"/>
        </w:trPr>
        <w:tc>
          <w:tcPr>
            <w:tcW w:w="2106" w:type="dxa"/>
          </w:tcPr>
          <w:p w:rsidR="009C31CA" w:rsidRPr="00FD1948" w:rsidRDefault="009C31CA" w:rsidP="00FD1948">
            <w:pPr>
              <w:spacing w:after="100" w:afterAutospacing="1"/>
              <w:rPr>
                <w:rFonts w:ascii="Times New Roman" w:eastAsia="Times New Roman" w:hAnsi="Times New Roman" w:cs="Times New Roman"/>
                <w:b/>
                <w:sz w:val="24"/>
                <w:szCs w:val="24"/>
                <w:lang w:eastAsia="es-DO"/>
              </w:rPr>
            </w:pPr>
            <w:r w:rsidRPr="006E0506">
              <w:rPr>
                <w:rFonts w:ascii="Times New Roman" w:eastAsia="Times New Roman" w:hAnsi="Times New Roman" w:cs="Times New Roman"/>
                <w:b/>
                <w:bCs/>
                <w:sz w:val="24"/>
                <w:szCs w:val="24"/>
                <w:lang w:eastAsia="es-DO"/>
              </w:rPr>
              <w:t>Para mayor información visite:</w:t>
            </w:r>
          </w:p>
        </w:tc>
        <w:tc>
          <w:tcPr>
            <w:tcW w:w="6678" w:type="dxa"/>
          </w:tcPr>
          <w:p w:rsidR="009C31CA" w:rsidRPr="00FD1948" w:rsidRDefault="00DD66B7" w:rsidP="009C31CA">
            <w:pPr>
              <w:rPr>
                <w:rFonts w:ascii="Times New Roman" w:eastAsia="Times New Roman" w:hAnsi="Times New Roman" w:cs="Times New Roman"/>
                <w:color w:val="0000FF"/>
                <w:sz w:val="24"/>
                <w:szCs w:val="24"/>
                <w:u w:val="single"/>
                <w:lang w:eastAsia="es-DO"/>
              </w:rPr>
            </w:pPr>
            <w:hyperlink r:id="rId8" w:history="1">
              <w:r w:rsidR="009C31CA" w:rsidRPr="00C84064">
                <w:rPr>
                  <w:rStyle w:val="Hipervnculo"/>
                  <w:rFonts w:ascii="Times New Roman" w:eastAsia="Times New Roman" w:hAnsi="Times New Roman" w:cs="Times New Roman"/>
                  <w:sz w:val="24"/>
                  <w:szCs w:val="24"/>
                  <w:lang w:eastAsia="es-DO"/>
                </w:rPr>
                <w:t>https://www.digecog.gob.do/transparencia/index.php/proyectos-y-programas/informes-de-seguimientos-a-los-programas-y-proyectos</w:t>
              </w:r>
            </w:hyperlink>
          </w:p>
        </w:tc>
      </w:tr>
      <w:tr w:rsidR="009C31CA" w:rsidTr="003B6FD4">
        <w:tc>
          <w:tcPr>
            <w:tcW w:w="2106" w:type="dxa"/>
          </w:tcPr>
          <w:p w:rsidR="009C31CA" w:rsidRDefault="009C31CA" w:rsidP="009C31CA">
            <w:pPr>
              <w:rPr>
                <w:rFonts w:ascii="Times New Roman" w:hAnsi="Times New Roman"/>
                <w:noProof/>
              </w:rPr>
            </w:pPr>
            <w:r w:rsidRPr="002506F4">
              <w:rPr>
                <w:rFonts w:ascii="Times New Roman" w:eastAsia="Times New Roman" w:hAnsi="Times New Roman" w:cs="Times New Roman"/>
                <w:b/>
                <w:bCs/>
                <w:sz w:val="24"/>
                <w:szCs w:val="24"/>
                <w:lang w:eastAsia="es-DO"/>
              </w:rPr>
              <w:t>Duración:</w:t>
            </w:r>
          </w:p>
        </w:tc>
        <w:tc>
          <w:tcPr>
            <w:tcW w:w="6678" w:type="dxa"/>
          </w:tcPr>
          <w:p w:rsidR="009C31CA" w:rsidRDefault="009C31CA" w:rsidP="009C31CA">
            <w:pPr>
              <w:rPr>
                <w:rFonts w:ascii="Times New Roman" w:hAnsi="Times New Roman"/>
                <w:noProof/>
              </w:rPr>
            </w:pPr>
            <w:r>
              <w:rPr>
                <w:rFonts w:ascii="Times New Roman" w:hAnsi="Times New Roman"/>
                <w:noProof/>
              </w:rPr>
              <w:t>3 años</w:t>
            </w:r>
          </w:p>
        </w:tc>
      </w:tr>
      <w:tr w:rsidR="009C31CA" w:rsidTr="003B6FD4">
        <w:tc>
          <w:tcPr>
            <w:tcW w:w="2106" w:type="dxa"/>
          </w:tcPr>
          <w:p w:rsidR="009C31CA" w:rsidRDefault="009C31CA" w:rsidP="009C31CA">
            <w:pPr>
              <w:rPr>
                <w:rFonts w:ascii="Times New Roman" w:hAnsi="Times New Roman"/>
                <w:noProof/>
              </w:rPr>
            </w:pPr>
            <w:r w:rsidRPr="002506F4">
              <w:rPr>
                <w:rFonts w:ascii="Times New Roman" w:eastAsia="Times New Roman" w:hAnsi="Times New Roman" w:cs="Times New Roman"/>
                <w:b/>
                <w:bCs/>
                <w:sz w:val="24"/>
                <w:szCs w:val="24"/>
                <w:lang w:eastAsia="es-DO"/>
              </w:rPr>
              <w:t>Costos total del proyecto:</w:t>
            </w:r>
          </w:p>
        </w:tc>
        <w:tc>
          <w:tcPr>
            <w:tcW w:w="6678" w:type="dxa"/>
          </w:tcPr>
          <w:p w:rsidR="009C31CA" w:rsidRDefault="00E02DBD" w:rsidP="009C31CA">
            <w:pPr>
              <w:rPr>
                <w:rFonts w:ascii="Times New Roman" w:hAnsi="Times New Roman"/>
                <w:noProof/>
              </w:rPr>
            </w:pPr>
            <w:r>
              <w:rPr>
                <w:rFonts w:ascii="Times New Roman" w:eastAsia="Times New Roman" w:hAnsi="Times New Roman" w:cs="Times New Roman"/>
                <w:sz w:val="24"/>
                <w:szCs w:val="24"/>
                <w:lang w:eastAsia="es-DO"/>
              </w:rPr>
              <w:t xml:space="preserve">Un total de 12.8 millones de euros y </w:t>
            </w:r>
            <w:r w:rsidR="009C31CA" w:rsidRPr="002506F4">
              <w:rPr>
                <w:rFonts w:ascii="Times New Roman" w:eastAsia="Times New Roman" w:hAnsi="Times New Roman" w:cs="Times New Roman"/>
                <w:sz w:val="24"/>
                <w:szCs w:val="24"/>
                <w:lang w:eastAsia="es-DO"/>
              </w:rPr>
              <w:t>704,000.00 Euros</w:t>
            </w:r>
            <w:r w:rsidR="00555A58">
              <w:rPr>
                <w:rFonts w:ascii="Times New Roman" w:eastAsia="Times New Roman" w:hAnsi="Times New Roman" w:cs="Times New Roman"/>
                <w:sz w:val="24"/>
                <w:szCs w:val="24"/>
                <w:lang w:eastAsia="es-DO"/>
              </w:rPr>
              <w:t xml:space="preserve"> para la DIGECOG.</w:t>
            </w:r>
          </w:p>
        </w:tc>
      </w:tr>
      <w:tr w:rsidR="008450C6" w:rsidTr="003B6FD4">
        <w:tc>
          <w:tcPr>
            <w:tcW w:w="2106" w:type="dxa"/>
          </w:tcPr>
          <w:p w:rsidR="00555A58" w:rsidRDefault="00555A58" w:rsidP="00FD1948">
            <w:pPr>
              <w:rPr>
                <w:rFonts w:ascii="Times New Roman" w:hAnsi="Times New Roman"/>
                <w:b/>
                <w:noProof/>
                <w:sz w:val="24"/>
                <w:szCs w:val="24"/>
              </w:rPr>
            </w:pPr>
          </w:p>
          <w:p w:rsidR="008450C6" w:rsidRPr="00FD1948" w:rsidRDefault="008450C6" w:rsidP="00FD1948">
            <w:pPr>
              <w:rPr>
                <w:rFonts w:ascii="Times New Roman" w:hAnsi="Times New Roman"/>
                <w:b/>
                <w:noProof/>
                <w:sz w:val="24"/>
                <w:szCs w:val="24"/>
              </w:rPr>
            </w:pPr>
            <w:r>
              <w:rPr>
                <w:rFonts w:ascii="Times New Roman" w:hAnsi="Times New Roman"/>
                <w:b/>
                <w:noProof/>
                <w:sz w:val="24"/>
                <w:szCs w:val="24"/>
              </w:rPr>
              <w:t xml:space="preserve">Cooperante </w:t>
            </w:r>
          </w:p>
        </w:tc>
        <w:tc>
          <w:tcPr>
            <w:tcW w:w="6678" w:type="dxa"/>
          </w:tcPr>
          <w:p w:rsidR="00555A58" w:rsidRDefault="00555A58" w:rsidP="00FD1948">
            <w:pPr>
              <w:rPr>
                <w:rFonts w:ascii="Times New Roman" w:hAnsi="Times New Roman"/>
                <w:noProof/>
              </w:rPr>
            </w:pPr>
          </w:p>
          <w:p w:rsidR="008450C6" w:rsidRDefault="008450C6" w:rsidP="00FD1948">
            <w:pPr>
              <w:rPr>
                <w:rFonts w:ascii="Times New Roman" w:hAnsi="Times New Roman"/>
                <w:noProof/>
              </w:rPr>
            </w:pPr>
            <w:r>
              <w:rPr>
                <w:rFonts w:ascii="Times New Roman" w:hAnsi="Times New Roman"/>
                <w:noProof/>
              </w:rPr>
              <w:t>Union Europea</w:t>
            </w:r>
          </w:p>
          <w:p w:rsidR="008450C6" w:rsidRDefault="008450C6" w:rsidP="00FD1948">
            <w:pPr>
              <w:rPr>
                <w:rFonts w:ascii="Times New Roman" w:hAnsi="Times New Roman"/>
                <w:noProof/>
              </w:rPr>
            </w:pPr>
          </w:p>
        </w:tc>
      </w:tr>
      <w:tr w:rsidR="009C31CA" w:rsidTr="003B6FD4">
        <w:tc>
          <w:tcPr>
            <w:tcW w:w="2106" w:type="dxa"/>
          </w:tcPr>
          <w:p w:rsidR="009C31CA" w:rsidRPr="008450C6" w:rsidRDefault="008450C6" w:rsidP="00FD1948">
            <w:pPr>
              <w:rPr>
                <w:rFonts w:ascii="Times New Roman" w:hAnsi="Times New Roman"/>
                <w:b/>
                <w:noProof/>
              </w:rPr>
            </w:pPr>
            <w:r w:rsidRPr="008450C6">
              <w:rPr>
                <w:rFonts w:ascii="Times New Roman" w:hAnsi="Times New Roman"/>
                <w:b/>
                <w:noProof/>
              </w:rPr>
              <w:t>Dueño del Proyecto</w:t>
            </w:r>
          </w:p>
        </w:tc>
        <w:tc>
          <w:tcPr>
            <w:tcW w:w="6678" w:type="dxa"/>
          </w:tcPr>
          <w:p w:rsidR="009C31CA" w:rsidRDefault="008450C6" w:rsidP="00FD1948">
            <w:pPr>
              <w:rPr>
                <w:rFonts w:ascii="Times New Roman" w:hAnsi="Times New Roman"/>
                <w:noProof/>
              </w:rPr>
            </w:pPr>
            <w:r>
              <w:rPr>
                <w:rFonts w:ascii="Times New Roman" w:hAnsi="Times New Roman"/>
                <w:noProof/>
              </w:rPr>
              <w:t>Ministerio de Hacienda</w:t>
            </w:r>
          </w:p>
          <w:p w:rsidR="008450C6" w:rsidRDefault="008450C6" w:rsidP="00FD1948">
            <w:pPr>
              <w:rPr>
                <w:rFonts w:ascii="Times New Roman" w:hAnsi="Times New Roman"/>
                <w:noProof/>
              </w:rPr>
            </w:pPr>
          </w:p>
        </w:tc>
      </w:tr>
      <w:tr w:rsidR="008450C6" w:rsidTr="003B6FD4">
        <w:tc>
          <w:tcPr>
            <w:tcW w:w="2106" w:type="dxa"/>
          </w:tcPr>
          <w:p w:rsidR="008450C6" w:rsidRPr="008450C6" w:rsidRDefault="008450C6" w:rsidP="00FD1948">
            <w:pPr>
              <w:rPr>
                <w:rFonts w:ascii="Times New Roman" w:hAnsi="Times New Roman"/>
                <w:b/>
                <w:noProof/>
              </w:rPr>
            </w:pPr>
            <w:r w:rsidRPr="008450C6">
              <w:rPr>
                <w:rFonts w:ascii="Times New Roman" w:hAnsi="Times New Roman"/>
                <w:b/>
                <w:noProof/>
              </w:rPr>
              <w:t>Estado del proyecto</w:t>
            </w:r>
          </w:p>
        </w:tc>
        <w:tc>
          <w:tcPr>
            <w:tcW w:w="6678" w:type="dxa"/>
          </w:tcPr>
          <w:p w:rsidR="008450C6" w:rsidRDefault="008450C6" w:rsidP="00FD1948">
            <w:pPr>
              <w:rPr>
                <w:rFonts w:ascii="Times New Roman" w:hAnsi="Times New Roman"/>
                <w:noProof/>
              </w:rPr>
            </w:pPr>
            <w:r>
              <w:rPr>
                <w:rFonts w:ascii="Times New Roman" w:hAnsi="Times New Roman"/>
                <w:noProof/>
              </w:rPr>
              <w:t>En ejecucion</w:t>
            </w:r>
          </w:p>
          <w:p w:rsidR="008450C6" w:rsidRDefault="008450C6" w:rsidP="00FD1948">
            <w:pPr>
              <w:rPr>
                <w:rFonts w:ascii="Times New Roman" w:hAnsi="Times New Roman"/>
                <w:noProof/>
              </w:rPr>
            </w:pPr>
          </w:p>
        </w:tc>
      </w:tr>
    </w:tbl>
    <w:p w:rsidR="009C31CA" w:rsidRDefault="009C31CA" w:rsidP="00C67627">
      <w:pPr>
        <w:jc w:val="center"/>
        <w:rPr>
          <w:rFonts w:ascii="Times New Roman" w:hAnsi="Times New Roman"/>
          <w:noProof/>
        </w:rPr>
      </w:pPr>
    </w:p>
    <w:p w:rsidR="009C31CA" w:rsidRDefault="009C31CA" w:rsidP="008450C6"/>
    <w:sectPr w:rsidR="009C31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tkinson-Hyperlegibl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C3E0A"/>
    <w:multiLevelType w:val="hybridMultilevel"/>
    <w:tmpl w:val="B052BA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3C3216E2"/>
    <w:multiLevelType w:val="hybridMultilevel"/>
    <w:tmpl w:val="FEA0E6A0"/>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42B54EDD"/>
    <w:multiLevelType w:val="hybridMultilevel"/>
    <w:tmpl w:val="84309B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4E6656BB"/>
    <w:multiLevelType w:val="hybridMultilevel"/>
    <w:tmpl w:val="2454212C"/>
    <w:lvl w:ilvl="0" w:tplc="11AA0348">
      <w:start w:val="1"/>
      <w:numFmt w:val="bullet"/>
      <w:lvlText w:val=" "/>
      <w:lvlJc w:val="left"/>
      <w:pPr>
        <w:tabs>
          <w:tab w:val="num" w:pos="720"/>
        </w:tabs>
        <w:ind w:left="720" w:hanging="360"/>
      </w:pPr>
      <w:rPr>
        <w:rFonts w:ascii="Tw Cen MT" w:hAnsi="Tw Cen MT" w:hint="default"/>
      </w:rPr>
    </w:lvl>
    <w:lvl w:ilvl="1" w:tplc="45CE8580" w:tentative="1">
      <w:start w:val="1"/>
      <w:numFmt w:val="bullet"/>
      <w:lvlText w:val=" "/>
      <w:lvlJc w:val="left"/>
      <w:pPr>
        <w:tabs>
          <w:tab w:val="num" w:pos="1440"/>
        </w:tabs>
        <w:ind w:left="1440" w:hanging="360"/>
      </w:pPr>
      <w:rPr>
        <w:rFonts w:ascii="Tw Cen MT" w:hAnsi="Tw Cen MT" w:hint="default"/>
      </w:rPr>
    </w:lvl>
    <w:lvl w:ilvl="2" w:tplc="1430FA92" w:tentative="1">
      <w:start w:val="1"/>
      <w:numFmt w:val="bullet"/>
      <w:lvlText w:val=" "/>
      <w:lvlJc w:val="left"/>
      <w:pPr>
        <w:tabs>
          <w:tab w:val="num" w:pos="2160"/>
        </w:tabs>
        <w:ind w:left="2160" w:hanging="360"/>
      </w:pPr>
      <w:rPr>
        <w:rFonts w:ascii="Tw Cen MT" w:hAnsi="Tw Cen MT" w:hint="default"/>
      </w:rPr>
    </w:lvl>
    <w:lvl w:ilvl="3" w:tplc="5DECA51C" w:tentative="1">
      <w:start w:val="1"/>
      <w:numFmt w:val="bullet"/>
      <w:lvlText w:val=" "/>
      <w:lvlJc w:val="left"/>
      <w:pPr>
        <w:tabs>
          <w:tab w:val="num" w:pos="2880"/>
        </w:tabs>
        <w:ind w:left="2880" w:hanging="360"/>
      </w:pPr>
      <w:rPr>
        <w:rFonts w:ascii="Tw Cen MT" w:hAnsi="Tw Cen MT" w:hint="default"/>
      </w:rPr>
    </w:lvl>
    <w:lvl w:ilvl="4" w:tplc="AA88C13C" w:tentative="1">
      <w:start w:val="1"/>
      <w:numFmt w:val="bullet"/>
      <w:lvlText w:val=" "/>
      <w:lvlJc w:val="left"/>
      <w:pPr>
        <w:tabs>
          <w:tab w:val="num" w:pos="3600"/>
        </w:tabs>
        <w:ind w:left="3600" w:hanging="360"/>
      </w:pPr>
      <w:rPr>
        <w:rFonts w:ascii="Tw Cen MT" w:hAnsi="Tw Cen MT" w:hint="default"/>
      </w:rPr>
    </w:lvl>
    <w:lvl w:ilvl="5" w:tplc="C9E280E0" w:tentative="1">
      <w:start w:val="1"/>
      <w:numFmt w:val="bullet"/>
      <w:lvlText w:val=" "/>
      <w:lvlJc w:val="left"/>
      <w:pPr>
        <w:tabs>
          <w:tab w:val="num" w:pos="4320"/>
        </w:tabs>
        <w:ind w:left="4320" w:hanging="360"/>
      </w:pPr>
      <w:rPr>
        <w:rFonts w:ascii="Tw Cen MT" w:hAnsi="Tw Cen MT" w:hint="default"/>
      </w:rPr>
    </w:lvl>
    <w:lvl w:ilvl="6" w:tplc="78BE843E" w:tentative="1">
      <w:start w:val="1"/>
      <w:numFmt w:val="bullet"/>
      <w:lvlText w:val=" "/>
      <w:lvlJc w:val="left"/>
      <w:pPr>
        <w:tabs>
          <w:tab w:val="num" w:pos="5040"/>
        </w:tabs>
        <w:ind w:left="5040" w:hanging="360"/>
      </w:pPr>
      <w:rPr>
        <w:rFonts w:ascii="Tw Cen MT" w:hAnsi="Tw Cen MT" w:hint="default"/>
      </w:rPr>
    </w:lvl>
    <w:lvl w:ilvl="7" w:tplc="C04CC8E0" w:tentative="1">
      <w:start w:val="1"/>
      <w:numFmt w:val="bullet"/>
      <w:lvlText w:val=" "/>
      <w:lvlJc w:val="left"/>
      <w:pPr>
        <w:tabs>
          <w:tab w:val="num" w:pos="5760"/>
        </w:tabs>
        <w:ind w:left="5760" w:hanging="360"/>
      </w:pPr>
      <w:rPr>
        <w:rFonts w:ascii="Tw Cen MT" w:hAnsi="Tw Cen MT" w:hint="default"/>
      </w:rPr>
    </w:lvl>
    <w:lvl w:ilvl="8" w:tplc="F574F258" w:tentative="1">
      <w:start w:val="1"/>
      <w:numFmt w:val="bullet"/>
      <w:lvlText w:val=" "/>
      <w:lvlJc w:val="left"/>
      <w:pPr>
        <w:tabs>
          <w:tab w:val="num" w:pos="6480"/>
        </w:tabs>
        <w:ind w:left="6480" w:hanging="360"/>
      </w:pPr>
      <w:rPr>
        <w:rFonts w:ascii="Tw Cen MT" w:hAnsi="Tw Cen MT" w:hint="default"/>
      </w:rPr>
    </w:lvl>
  </w:abstractNum>
  <w:abstractNum w:abstractNumId="4" w15:restartNumberingAfterBreak="0">
    <w:nsid w:val="667E4B89"/>
    <w:multiLevelType w:val="hybridMultilevel"/>
    <w:tmpl w:val="0D3C1C6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6B8947BE"/>
    <w:multiLevelType w:val="hybridMultilevel"/>
    <w:tmpl w:val="1DD03C1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627"/>
    <w:rsid w:val="0008123C"/>
    <w:rsid w:val="002055BF"/>
    <w:rsid w:val="00216353"/>
    <w:rsid w:val="00223C2F"/>
    <w:rsid w:val="003834D3"/>
    <w:rsid w:val="003B6FD4"/>
    <w:rsid w:val="00555A58"/>
    <w:rsid w:val="008450C6"/>
    <w:rsid w:val="008C7932"/>
    <w:rsid w:val="009C2716"/>
    <w:rsid w:val="009C31CA"/>
    <w:rsid w:val="009C618F"/>
    <w:rsid w:val="00A93213"/>
    <w:rsid w:val="00B823EA"/>
    <w:rsid w:val="00BF5D13"/>
    <w:rsid w:val="00C67627"/>
    <w:rsid w:val="00CB6CB9"/>
    <w:rsid w:val="00D906AE"/>
    <w:rsid w:val="00DD66B7"/>
    <w:rsid w:val="00E02DBD"/>
    <w:rsid w:val="00F475CE"/>
    <w:rsid w:val="00FD19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F7441-E77F-4301-A1A6-EB18760A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7627"/>
    <w:pPr>
      <w:spacing w:after="0" w:line="240" w:lineRule="auto"/>
      <w:ind w:left="720"/>
      <w:contextualSpacing/>
    </w:pPr>
    <w:rPr>
      <w:rFonts w:ascii="Times New Roman" w:eastAsia="Times New Roman" w:hAnsi="Times New Roman" w:cs="Times New Roman"/>
      <w:sz w:val="24"/>
      <w:szCs w:val="24"/>
      <w:lang w:eastAsia="es-DO"/>
    </w:rPr>
  </w:style>
  <w:style w:type="table" w:styleId="Tablaconcuadrcula">
    <w:name w:val="Table Grid"/>
    <w:basedOn w:val="Tablanormal"/>
    <w:uiPriority w:val="39"/>
    <w:rsid w:val="009C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31CA"/>
    <w:pPr>
      <w:spacing w:before="100" w:beforeAutospacing="1" w:after="100" w:afterAutospacing="1" w:line="240" w:lineRule="auto"/>
    </w:pPr>
    <w:rPr>
      <w:rFonts w:ascii="Times New Roman" w:eastAsia="Times New Roman" w:hAnsi="Times New Roman" w:cs="Times New Roman"/>
      <w:sz w:val="24"/>
      <w:szCs w:val="24"/>
      <w:lang w:eastAsia="es-DO"/>
    </w:rPr>
  </w:style>
  <w:style w:type="character" w:styleId="Hipervnculo">
    <w:name w:val="Hyperlink"/>
    <w:basedOn w:val="Fuentedeprrafopredeter"/>
    <w:uiPriority w:val="99"/>
    <w:unhideWhenUsed/>
    <w:rsid w:val="009C31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7970">
      <w:bodyDiv w:val="1"/>
      <w:marLeft w:val="0"/>
      <w:marRight w:val="0"/>
      <w:marTop w:val="0"/>
      <w:marBottom w:val="0"/>
      <w:divBdr>
        <w:top w:val="none" w:sz="0" w:space="0" w:color="auto"/>
        <w:left w:val="none" w:sz="0" w:space="0" w:color="auto"/>
        <w:bottom w:val="none" w:sz="0" w:space="0" w:color="auto"/>
        <w:right w:val="none" w:sz="0" w:space="0" w:color="auto"/>
      </w:divBdr>
      <w:divsChild>
        <w:div w:id="134022887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ecog.gob.do/transparencia/index.php/proyectos-y-programas/informes-de-seguimientos-a-los-programas-y-proyecto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E62F0-CDEE-4BCC-ABA3-94F91DF9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3060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Neris Elvira Vanderhorst</dc:creator>
  <cp:keywords/>
  <dc:description/>
  <cp:lastModifiedBy>Ing. Neris Elvira Vanderhorst</cp:lastModifiedBy>
  <cp:revision>2</cp:revision>
  <dcterms:created xsi:type="dcterms:W3CDTF">2023-09-18T16:00:00Z</dcterms:created>
  <dcterms:modified xsi:type="dcterms:W3CDTF">2023-09-18T16:00:00Z</dcterms:modified>
</cp:coreProperties>
</file>